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00000">
      <w:pPr>
        <w:jc w:val="center"/>
        <w:rPr>
          <w:b/>
          <w:u w:val="single"/>
        </w:rPr>
      </w:pPr>
    </w:p>
    <w:p w:rsidR="00000000" w:rsidRDefault="00000000">
      <w:pPr>
        <w:jc w:val="center"/>
        <w:rPr>
          <w:b/>
          <w:u w:val="single"/>
        </w:rPr>
      </w:pPr>
      <w:r>
        <w:rPr>
          <w:b/>
          <w:u w:val="single"/>
        </w:rPr>
        <w:t>Musterschreiben</w:t>
      </w:r>
    </w:p>
    <w:p w:rsidR="00000000" w:rsidRDefault="00000000"/>
    <w:p w:rsidR="00000000" w:rsidRDefault="00000000">
      <w:r>
        <w:t>Landesgrundwasserdienst;</w:t>
      </w:r>
    </w:p>
    <w:p w:rsidR="00000000" w:rsidRDefault="00000000">
      <w:r>
        <w:t>Messstellenuntersuchung mit Unterwasserfernsehkamera;</w:t>
      </w:r>
    </w:p>
    <w:p w:rsidR="00000000" w:rsidRDefault="00000000">
      <w:r>
        <w:t>Aufforderung zur Abgabe eines Angebotes</w:t>
      </w:r>
    </w:p>
    <w:p w:rsidR="00000000" w:rsidRDefault="00000000"/>
    <w:p w:rsidR="00000000" w:rsidRDefault="00000000">
      <w:r>
        <w:t>Sehr geehrte Damen und Herren,</w:t>
      </w:r>
    </w:p>
    <w:p w:rsidR="00000000" w:rsidRDefault="00000000">
      <w:r>
        <w:t>für die Funktionsüberprüfung von Grundwassermessstellen des Landesgrundwasserdienstes s</w:t>
      </w:r>
      <w:r>
        <w:t>o</w:t>
      </w:r>
      <w:r>
        <w:t>wie zur Beurteilung des Ausbauzustandes sollen im Haushaltsjahr 20..... die in der Anlage aufg</w:t>
      </w:r>
      <w:r>
        <w:t>e</w:t>
      </w:r>
      <w:r>
        <w:t>li</w:t>
      </w:r>
      <w:r>
        <w:t>s</w:t>
      </w:r>
      <w:r>
        <w:t>teten Grundwassermessstellen mit einer Unterwasser-Farbfernsehkamera untersucht werden.</w:t>
      </w:r>
    </w:p>
    <w:p w:rsidR="00000000" w:rsidRDefault="00000000">
      <w:r>
        <w:t>Es ist beabsichtigt, die nachfolgend beschriebenen Leistungen nach VOL/A im Namen und für Rechnung des Freistaates Bayern, vertreten durch das Wasserwirtschaftsamt ................................. im Wege der Beschränkten Ausschreibung zu vergeben.</w:t>
      </w:r>
    </w:p>
    <w:p w:rsidR="00000000" w:rsidRDefault="00000000">
      <w:r>
        <w:rPr>
          <w:u w:val="single"/>
        </w:rPr>
        <w:t>Pos 1</w:t>
      </w:r>
    </w:p>
    <w:p w:rsidR="00000000" w:rsidRDefault="00000000">
      <w:r>
        <w:t>An- und Abtransport des kompletten Fernsehuntersuchungswagens, sowie erforderliche Zw</w:t>
      </w:r>
      <w:r>
        <w:t>i</w:t>
      </w:r>
      <w:r>
        <w:t>schentransporte zu allen Messstellen; Reise- und Transportkosten für Bedienpersonal und Fer</w:t>
      </w:r>
      <w:r>
        <w:t>n</w:t>
      </w:r>
      <w:r>
        <w:t>sehanlage, einschließlich Auslösungen, Wegekosten, Übernachtungskosten im Zuge einer evtl. Rundreise.</w:t>
      </w:r>
    </w:p>
    <w:p w:rsidR="00000000" w:rsidRDefault="00000000">
      <w:r>
        <w:t>Pauschal für alle Messstellen.</w:t>
      </w:r>
    </w:p>
    <w:p w:rsidR="00000000" w:rsidRDefault="00000000">
      <w:r>
        <w:rPr>
          <w:u w:val="single"/>
        </w:rPr>
        <w:t>Pos 2</w:t>
      </w:r>
    </w:p>
    <w:p w:rsidR="00000000" w:rsidRDefault="00000000">
      <w:r>
        <w:t>Durchführung der Fernsehuntersuchung mit einer Unterwasser-Farbfernsehkamera mit schwen</w:t>
      </w:r>
      <w:r>
        <w:t>k</w:t>
      </w:r>
      <w:r>
        <w:t xml:space="preserve">barem Kamerakopf für Axialsicht </w:t>
      </w:r>
      <w:r>
        <w:rPr>
          <w:u w:val="single"/>
        </w:rPr>
        <w:t>und</w:t>
      </w:r>
      <w:r>
        <w:t xml:space="preserve"> Radialsicht (90</w:t>
      </w:r>
      <w:r>
        <w:sym w:font="Symbol" w:char="F0B0"/>
      </w:r>
      <w:r>
        <w:t xml:space="preserve"> zur Lotrechten) für die anbei aufgeführten Rohrdurchmesser, Vorhalten der Anlage einschließlich Bedienung und </w:t>
      </w:r>
      <w:proofErr w:type="spellStart"/>
      <w:r>
        <w:t>incl</w:t>
      </w:r>
      <w:proofErr w:type="spellEnd"/>
      <w:r>
        <w:t>. aller Nebenleistu</w:t>
      </w:r>
      <w:r>
        <w:t>n</w:t>
      </w:r>
      <w:r>
        <w:t>gen (z. B. Notstromaggregat).</w:t>
      </w:r>
    </w:p>
    <w:p w:rsidR="00000000" w:rsidRDefault="00000000">
      <w:r>
        <w:t>Pauschal für jede Messstelle.</w:t>
      </w:r>
    </w:p>
    <w:p w:rsidR="00000000" w:rsidRDefault="00000000">
      <w:r>
        <w:rPr>
          <w:u w:val="single"/>
        </w:rPr>
        <w:t>Pos 3</w:t>
      </w:r>
    </w:p>
    <w:p w:rsidR="00000000" w:rsidRDefault="00000000">
      <w:r>
        <w:t>Lieferung eines Untersuchungsberichtes in zweifacher Ausfertigung je Messstelle. Er soll insb</w:t>
      </w:r>
      <w:r>
        <w:t>e</w:t>
      </w:r>
      <w:r>
        <w:t xml:space="preserve">sondere auf festgestellte Schäden oder Beeinträchtigungen des Messstellenausbaus eingehen und die Tiefenlage der Ausbauabschnitte (Aufsatzrohr, Filterrohr, Sumpfrohr) angeben sowie eine Beurteilung des untersuchten Objektes durch einen Brunnenbau-Fachingenieur enthalten. Dem Untersuchungsbericht sind aussagekräftige Fotoaufnahmen von der Befahrung beizugeben, und zwar </w:t>
      </w:r>
      <w:r>
        <w:rPr>
          <w:u w:val="single"/>
        </w:rPr>
        <w:t>mindestens</w:t>
      </w:r>
      <w:r>
        <w:t xml:space="preserve"> eine Fotoaufnahme von Übergangsbereichen Standrohr/Vollrohr, Stah</w:t>
      </w:r>
      <w:r>
        <w:t>l</w:t>
      </w:r>
      <w:r>
        <w:t>rohr/PVC (bzw. zu anstehendem Gestein), in Höhe des Wasserspiegels, Filter (mit Nahaufna</w:t>
      </w:r>
      <w:r>
        <w:t>h</w:t>
      </w:r>
      <w:r>
        <w:t>me), von allen festgestellten Schäden am Messstellenausbau sowie von der Sohle; bei Tiefmes</w:t>
      </w:r>
      <w:r>
        <w:t>s</w:t>
      </w:r>
      <w:r>
        <w:t>stellen soll mindestens alle 10 m eine Fotoaufnahme vorhanden sein (bei Vollrohren im Bereich der Rohrverbindungen). Die Fernsehbefahrung soll insgesamt durch mindestens 10 Fotoaufna</w:t>
      </w:r>
      <w:r>
        <w:t>h</w:t>
      </w:r>
      <w:r>
        <w:t>men dokumentiert sein. Die Tiefenlage der Ausbauabschnitte soll in Meter unter Geländeobe</w:t>
      </w:r>
      <w:r>
        <w:t>r</w:t>
      </w:r>
      <w:r>
        <w:t>kante angegeben werden.</w:t>
      </w:r>
    </w:p>
    <w:p w:rsidR="00000000" w:rsidRDefault="00000000">
      <w:r>
        <w:t>Pauschal je Messstelle.</w:t>
      </w:r>
    </w:p>
    <w:p w:rsidR="00000000" w:rsidRDefault="00000000">
      <w:r>
        <w:rPr>
          <w:u w:val="single"/>
        </w:rPr>
        <w:t>Pos 4</w:t>
      </w:r>
    </w:p>
    <w:p w:rsidR="00000000" w:rsidRDefault="00000000">
      <w:r>
        <w:t>Aufzeichnung der Fernsehuntersuchung aller Messstellen im VHS-Standard-System in seque</w:t>
      </w:r>
      <w:r>
        <w:t>n</w:t>
      </w:r>
      <w:r>
        <w:t>tieller Abfolge auf einem oder mehreren Bändern. Die Bandkapazität soll dabei nur soweit au</w:t>
      </w:r>
      <w:r>
        <w:t>s</w:t>
      </w:r>
      <w:r>
        <w:t>genutzt werden, dass einzelne Messstellen jeweils komplett - d. h. ohne Unterbrechung - auf e</w:t>
      </w:r>
      <w:r>
        <w:t>i</w:t>
      </w:r>
      <w:r>
        <w:t>nem Band aufgezeichnet werden können. Der Nullpunkt für die Tiefenposition des Kamera-Aufnahmekopfes muss in Höhe der Geländeobe</w:t>
      </w:r>
      <w:r>
        <w:t>r</w:t>
      </w:r>
      <w:r>
        <w:t>kante ausgerichtet sein.</w:t>
      </w:r>
    </w:p>
    <w:p w:rsidR="00000000" w:rsidRDefault="00000000">
      <w:r>
        <w:t>Pauschal je Messstelle.</w:t>
      </w:r>
    </w:p>
    <w:p w:rsidR="00000000" w:rsidRDefault="00000000">
      <w:r>
        <w:rPr>
          <w:u w:val="single"/>
        </w:rPr>
        <w:t>Pos 5</w:t>
      </w:r>
    </w:p>
    <w:p w:rsidR="00000000" w:rsidRDefault="00000000">
      <w:r>
        <w:t>Warte- und Stillstandszeiten für Personal und Anlage, von mehr als 1 Std. pro Einsatztag, welche vom Auftraggeber zu vertreten sind.</w:t>
      </w:r>
    </w:p>
    <w:p w:rsidR="00000000" w:rsidRDefault="00000000">
      <w:r>
        <w:t>Gebühr pro Stunde.</w:t>
      </w:r>
    </w:p>
    <w:p w:rsidR="00000000" w:rsidRDefault="00000000">
      <w:pPr>
        <w:spacing w:before="240"/>
      </w:pPr>
      <w:r>
        <w:rPr>
          <w:u w:val="single"/>
        </w:rPr>
        <w:t>Anmerkungen:</w:t>
      </w:r>
    </w:p>
    <w:p w:rsidR="00000000" w:rsidRDefault="00000000">
      <w:pPr>
        <w:pStyle w:val="Aufzhlung"/>
        <w:numPr>
          <w:ilvl w:val="0"/>
          <w:numId w:val="29"/>
        </w:numPr>
      </w:pPr>
      <w:r>
        <w:t>Es ist davon auszugehen, dass seitens des Auftraggebers dafür gesorgt wird, dass die freie Zugänglichkeit der einzelnen Messstellen rechtzeitig vor der Befahrung hergestellt wird (d. h. Abbau von Schreibgeräten u. ä.). U-Pumpen, Saugleitungen u. a. Einbauten werden minde</w:t>
      </w:r>
      <w:r>
        <w:t>s</w:t>
      </w:r>
      <w:r>
        <w:t>tens  24 Stunden vor dem Untersuchungstermin ausgebaut sein, so dass Trübstoffe weitg</w:t>
      </w:r>
      <w:r>
        <w:t>e</w:t>
      </w:r>
      <w:r>
        <w:t>hend abg</w:t>
      </w:r>
      <w:r>
        <w:t>e</w:t>
      </w:r>
      <w:r>
        <w:t>setzt sind.</w:t>
      </w:r>
    </w:p>
    <w:p w:rsidR="00000000" w:rsidRDefault="00000000">
      <w:pPr>
        <w:pStyle w:val="Aufzhlung"/>
        <w:numPr>
          <w:ilvl w:val="0"/>
          <w:numId w:val="29"/>
        </w:numPr>
      </w:pPr>
      <w:r>
        <w:t>Alle Messstellen können mit Lkw erreicht werden. Soweit Einschränkungen bestehen, ist dies in beiliegender Aufstellung vermerkt.</w:t>
      </w:r>
    </w:p>
    <w:p w:rsidR="00000000" w:rsidRDefault="00000000">
      <w:pPr>
        <w:pStyle w:val="Aufzhlung"/>
        <w:numPr>
          <w:ilvl w:val="0"/>
          <w:numId w:val="29"/>
        </w:numPr>
      </w:pPr>
      <w:r>
        <w:t>Alle Messstellen bzw. Brunnen sollen unmittelbar hintereinander, bei nur einer An- und A</w:t>
      </w:r>
      <w:r>
        <w:t>b</w:t>
      </w:r>
      <w:r>
        <w:t>fahrt, untersucht werden. Sollte der Untersuchungsumfang, ggf. eine Übernachtung des Pe</w:t>
      </w:r>
      <w:r>
        <w:t>r</w:t>
      </w:r>
      <w:r>
        <w:t>sonals erforderlich machen, ist dies im Pauschalangebot einzukalkulieren.</w:t>
      </w:r>
    </w:p>
    <w:p w:rsidR="00000000" w:rsidRDefault="00000000">
      <w:pPr>
        <w:pStyle w:val="Aufzhlung"/>
        <w:numPr>
          <w:ilvl w:val="0"/>
          <w:numId w:val="29"/>
        </w:numPr>
      </w:pPr>
      <w:r>
        <w:t>Für die gesamte Dauer der Fernsehbefahrung steht eine Hilfskraft seitens des Auftraggebers zur Geländeeinweisung zur Verfügung.</w:t>
      </w:r>
    </w:p>
    <w:p w:rsidR="00000000" w:rsidRDefault="00000000">
      <w:pPr>
        <w:pStyle w:val="Aufzhlung"/>
        <w:numPr>
          <w:ilvl w:val="0"/>
          <w:numId w:val="29"/>
        </w:numPr>
      </w:pPr>
      <w:r>
        <w:t>Sofern einzelne Messstellen aufgrund von Tiefe bzw. Ausbaudurchmesser nicht in Farbe bzw. mit Radialsicht befahren werden können oder nur bis zu einer bestimmten Tiefe, ist dies im Angebot zu vermerken.</w:t>
      </w:r>
    </w:p>
    <w:p w:rsidR="00000000" w:rsidRDefault="00000000">
      <w:pPr>
        <w:pStyle w:val="Aufzhlung"/>
        <w:numPr>
          <w:ilvl w:val="0"/>
          <w:numId w:val="29"/>
        </w:numPr>
      </w:pPr>
      <w:r>
        <w:t xml:space="preserve">Es ist davon auszugehen, dass an den </w:t>
      </w:r>
      <w:proofErr w:type="spellStart"/>
      <w:r>
        <w:t>GwMessstellen</w:t>
      </w:r>
      <w:proofErr w:type="spellEnd"/>
      <w:r>
        <w:t xml:space="preserve"> keine Stromversorgung zur Verfügung steht.</w:t>
      </w:r>
    </w:p>
    <w:p w:rsidR="00000000" w:rsidRDefault="00000000">
      <w:pPr>
        <w:spacing w:before="240"/>
      </w:pPr>
      <w:r>
        <w:t>Die vorgenannten Anmerkungen sind wesentlicher Bestandteil der Leistungen.</w:t>
      </w:r>
    </w:p>
    <w:p w:rsidR="00000000" w:rsidRDefault="00000000">
      <w:r>
        <w:t>Ihr Preisangebot ist bis zum ........................., ............................. Uhr an das Wasserwirtschaftsamt ............................................. abzugeben, mit Angabe der vorgesehenen Gesamtuntersuchung</w:t>
      </w:r>
      <w:r>
        <w:t>s</w:t>
      </w:r>
      <w:r>
        <w:t>dauer (in Tagen). Mit der Ausführung kann sofort nach Auftragserteilung begonnen werden. Die Allgemeinen Vertragsbedingungen für die Ausführung von Leistungen (VOL/B) werden B</w:t>
      </w:r>
      <w:r>
        <w:t>e</w:t>
      </w:r>
      <w:r>
        <w:t>standteil des Auftrages.</w:t>
      </w:r>
    </w:p>
    <w:p w:rsidR="00000000" w:rsidRDefault="00000000">
      <w:r>
        <w:t>Der Auftraggeber teilt jedem erfolglosen Bieter auf dessen schriftlichen Antrag hin unverzüglich gemäß VOL/A, § 27 die Ablehnung seines Angebotes schriftlich mit. Dem Antrag ist ein adre</w:t>
      </w:r>
      <w:r>
        <w:t>s</w:t>
      </w:r>
      <w:r>
        <w:t>sierter Freiumschlag beizufügen.</w:t>
      </w:r>
    </w:p>
    <w:p w:rsidR="00000000" w:rsidRDefault="00000000">
      <w:r>
        <w:t>Evtl. Rückfragen sind mit Herrn/Frau .............................., Tel. ......................... abzuklären.</w:t>
      </w:r>
    </w:p>
    <w:p w:rsidR="00000000" w:rsidRDefault="00000000">
      <w:r>
        <w:t>Mit freundlichen Grüßen</w:t>
      </w:r>
    </w:p>
    <w:p w:rsidR="00000000" w:rsidRDefault="00000000">
      <w:r>
        <w:t>i. A.</w:t>
      </w:r>
    </w:p>
    <w:p w:rsidR="00000000" w:rsidRDefault="00000000">
      <w:r>
        <w:t>......................................</w:t>
      </w:r>
    </w:p>
    <w:sectPr w:rsidR="0000000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680" w:right="1134" w:bottom="1276" w:left="1366" w:header="454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00000">
      <w:pPr>
        <w:spacing w:before="0" w:after="0"/>
      </w:pPr>
      <w:r>
        <w:separator/>
      </w:r>
    </w:p>
  </w:endnote>
  <w:endnote w:type="continuationSeparator" w:id="0">
    <w:p w:rsidR="00000000" w:rsidRDefault="000000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ntax">
    <w:altName w:val="Nueva St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00000">
    <w:pPr>
      <w:pStyle w:val="Fuzeile"/>
    </w:pPr>
    <w:r>
      <w:rPr>
        <w:noProof/>
        <w:sz w:val="20"/>
      </w:rPr>
      <w:pict>
        <v:rect id="_x0000_s2052" style="position:absolute;margin-left:426.1pt;margin-top:730.8pt;width:79.4pt;height:78.3pt;z-index:4;mso-position-horizontal:absolute;mso-position-horizontal-relative:margin;mso-position-vertical:absolute;mso-position-vertical-relative:page" o:allowincell="f" filled="f" stroked="f">
          <v:textbox style="mso-next-textbox:#_x0000_s2052" inset="0,0,0,0">
            <w:txbxContent>
              <w:p w:rsidR="00000000" w:rsidRDefault="00000000">
                <w:pPr>
                  <w:jc w:val="center"/>
                  <w:rPr>
                    <w:sz w:val="2"/>
                  </w:rPr>
                </w:pPr>
              </w:p>
              <w:p w:rsidR="00000000" w:rsidRDefault="00000000">
                <w:pPr>
                  <w:jc w:val="center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78.75pt;height:55.5pt" fillcolor="window">
                      <v:imagedata r:id="rId1" o:title="W_20_SW"/>
                    </v:shape>
                  </w:pict>
                </w:r>
              </w:p>
            </w:txbxContent>
          </v:textbox>
          <w10:wrap anchorx="margin" anchory="page"/>
        </v:rect>
      </w:pict>
    </w:r>
  </w:p>
  <w:p w:rsidR="00000000" w:rsidRDefault="00000000">
    <w:pPr>
      <w:pStyle w:val="Fuzeile"/>
    </w:pPr>
  </w:p>
  <w:p w:rsidR="00000000" w:rsidRDefault="00000000">
    <w:pPr>
      <w:pStyle w:val="Fuzeile"/>
    </w:pPr>
    <w:proofErr w:type="spellStart"/>
    <w:r>
      <w:t>Slg</w:t>
    </w:r>
    <w:proofErr w:type="spellEnd"/>
    <w:r>
      <w:t xml:space="preserve"> LfW – </w:t>
    </w:r>
    <w:r>
      <w:fldChar w:fldCharType="begin"/>
    </w:r>
    <w:r>
      <w:instrText xml:space="preserve"> REF Blatt  \* MERGEFORMAT </w:instrText>
    </w:r>
    <w:r>
      <w:fldChar w:fldCharType="separate"/>
    </w:r>
    <w:r>
      <w:rPr>
        <w:b/>
      </w:rPr>
      <w:t>Fehler! Verweisquelle konnte nicht gefunden werden.</w:t>
    </w:r>
    <w:r>
      <w:fldChar w:fldCharType="end"/>
    </w:r>
    <w:r>
      <w:t xml:space="preserve">, Stand: </w:t>
    </w:r>
    <w:r>
      <w:fldChar w:fldCharType="begin"/>
    </w:r>
    <w:r>
      <w:instrText xml:space="preserve"> REF Stand  \* MERGEFORMAT </w:instrText>
    </w:r>
    <w:r>
      <w:fldChar w:fldCharType="separate"/>
    </w:r>
    <w:r>
      <w:rPr>
        <w:b/>
      </w:rPr>
      <w:t>Fehler! Verweisquelle konnte nicht gefunden werden.</w:t>
    </w:r>
    <w:r>
      <w:fldChar w:fldCharType="end"/>
    </w:r>
    <w:r>
      <w:t xml:space="preserve">,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00000">
    <w:pPr>
      <w:pStyle w:val="Fuzeile"/>
      <w:ind w:left="7799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00000">
    <w:pPr>
      <w:pStyle w:val="Fuzeile"/>
    </w:pPr>
    <w:r>
      <w:rPr>
        <w:noProof/>
        <w:sz w:val="20"/>
      </w:rPr>
      <w:pict>
        <v:rect id="_x0000_s2051" style="position:absolute;margin-left:404.25pt;margin-top:668.35pt;width:167.25pt;height:140.75pt;z-index:3;mso-position-horizontal:absolute;mso-position-horizontal-relative:page;mso-position-vertical:absolute;mso-position-vertical-relative:page" o:allowincell="f" filled="f" stroked="f">
          <v:textbox style="mso-next-textbox:#_x0000_s2051" inset="0,0,0,0">
            <w:txbxContent>
              <w:p w:rsidR="00000000" w:rsidRDefault="00000000">
                <w:pPr>
                  <w:jc w:val="center"/>
                  <w:rPr>
                    <w:sz w:val="2"/>
                  </w:rPr>
                </w:pPr>
              </w:p>
              <w:bookmarkStart w:id="0" w:name="Z_TxtWasserE"/>
              <w:bookmarkEnd w:id="0"/>
              <w:bookmarkStart w:id="1" w:name="_MON_1012289795"/>
              <w:bookmarkEnd w:id="1"/>
              <w:p w:rsidR="00000000" w:rsidRDefault="00000000">
                <w:pPr>
                  <w:jc w:val="center"/>
                </w:pPr>
                <w:r>
                  <w:object w:dxaOrig="3337" w:dyaOrig="23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66.5pt;height:116.25pt" fillcolor="window">
                      <v:imagedata r:id="rId1" o:title=""/>
                    </v:shape>
                    <o:OLEObject Type="Embed" ProgID="Word.Picture.8" ShapeID="_x0000_i1026" DrawAspect="Content" ObjectID="_1654342790" r:id="rId2"/>
                  </w:object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00000">
      <w:pPr>
        <w:spacing w:before="0" w:after="0"/>
      </w:pPr>
      <w:r>
        <w:separator/>
      </w:r>
    </w:p>
  </w:footnote>
  <w:footnote w:type="continuationSeparator" w:id="0">
    <w:p w:rsidR="00000000" w:rsidRDefault="0000000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373"/>
      <w:gridCol w:w="1701"/>
      <w:gridCol w:w="2155"/>
    </w:tblGrid>
    <w:tr w:rsidR="00000000">
      <w:tblPrEx>
        <w:tblCellMar>
          <w:top w:w="0" w:type="dxa"/>
          <w:bottom w:w="0" w:type="dxa"/>
        </w:tblCellMar>
      </w:tblPrEx>
      <w:trPr>
        <w:trHeight w:hRule="exact" w:val="227"/>
      </w:trPr>
      <w:tc>
        <w:tcPr>
          <w:tcW w:w="10229" w:type="dxa"/>
          <w:gridSpan w:val="3"/>
        </w:tcPr>
        <w:p w:rsidR="00000000" w:rsidRDefault="00000000">
          <w:pPr>
            <w:pStyle w:val="Kopfzeile"/>
          </w:pPr>
        </w:p>
      </w:tc>
    </w:tr>
    <w:tr w:rsidR="00000000">
      <w:tblPrEx>
        <w:tblCellMar>
          <w:top w:w="0" w:type="dxa"/>
          <w:bottom w:w="0" w:type="dxa"/>
        </w:tblCellMar>
      </w:tblPrEx>
      <w:trPr>
        <w:trHeight w:hRule="exact" w:val="1134"/>
      </w:trPr>
      <w:tc>
        <w:tcPr>
          <w:tcW w:w="6373" w:type="dxa"/>
        </w:tcPr>
        <w:p w:rsidR="00000000" w:rsidRDefault="00000000">
          <w:pPr>
            <w:pStyle w:val="Kopfzeile"/>
            <w:tabs>
              <w:tab w:val="clear" w:pos="4536"/>
              <w:tab w:val="clear" w:pos="9072"/>
              <w:tab w:val="center" w:pos="5114"/>
            </w:tabs>
          </w:pPr>
        </w:p>
      </w:tc>
      <w:tc>
        <w:tcPr>
          <w:tcW w:w="1701" w:type="dxa"/>
        </w:tcPr>
        <w:p w:rsidR="00000000" w:rsidRDefault="00000000">
          <w:pPr>
            <w:pStyle w:val="Kopfzeile"/>
            <w:tabs>
              <w:tab w:val="clear" w:pos="4536"/>
              <w:tab w:val="clear" w:pos="9072"/>
            </w:tabs>
            <w:ind w:right="-57"/>
            <w:jc w:val="right"/>
          </w:pPr>
        </w:p>
      </w:tc>
      <w:tc>
        <w:tcPr>
          <w:tcW w:w="2155" w:type="dxa"/>
        </w:tcPr>
        <w:p w:rsidR="00000000" w:rsidRDefault="00000000">
          <w:pPr>
            <w:pStyle w:val="Kopfzeile"/>
            <w:spacing w:line="180" w:lineRule="exact"/>
            <w:rPr>
              <w:rFonts w:ascii="Syntax" w:hAnsi="Syntax"/>
              <w:sz w:val="16"/>
            </w:rPr>
          </w:pPr>
        </w:p>
        <w:p w:rsidR="00000000" w:rsidRDefault="00000000">
          <w:pPr>
            <w:pStyle w:val="Kopfzeile"/>
            <w:spacing w:line="180" w:lineRule="exact"/>
            <w:rPr>
              <w:rFonts w:ascii="Syntax" w:hAnsi="Syntax"/>
              <w:sz w:val="16"/>
            </w:rPr>
          </w:pPr>
        </w:p>
        <w:p w:rsidR="00000000" w:rsidRDefault="00000000">
          <w:pPr>
            <w:pStyle w:val="Kopfzeile"/>
            <w:spacing w:line="180" w:lineRule="exact"/>
            <w:rPr>
              <w:rFonts w:ascii="Syntax" w:hAnsi="Syntax"/>
              <w:sz w:val="16"/>
            </w:rPr>
          </w:pPr>
        </w:p>
        <w:p w:rsidR="00000000" w:rsidRDefault="00000000">
          <w:pPr>
            <w:pStyle w:val="Kopfzeile"/>
            <w:spacing w:line="180" w:lineRule="exact"/>
            <w:rPr>
              <w:rFonts w:ascii="Syntax" w:hAnsi="Syntax"/>
              <w:sz w:val="16"/>
            </w:rPr>
          </w:pPr>
        </w:p>
      </w:tc>
    </w:tr>
  </w:tbl>
  <w:p w:rsidR="00000000" w:rsidRDefault="00000000">
    <w:pPr>
      <w:pStyle w:val="Kopfzeil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00000">
    <w:pPr>
      <w:pStyle w:val="Kopfzeile"/>
      <w:spacing w:line="227" w:lineRule="exact"/>
    </w:pPr>
    <w:r>
      <w:rPr>
        <w:noProof/>
        <w:sz w:val="20"/>
      </w:rPr>
      <w:pict>
        <v:line id="_x0000_s2049" style="position:absolute;z-index:1;mso-position-horizontal:absolute;mso-position-horizontal-relative:page;mso-position-vertical:absolute;mso-position-vertical-relative:page" from="21.25pt,297.7pt" to="35.45pt,297.75pt" o:allowincell="f" strokeweight=".5pt">
          <v:stroke startarrowwidth="narrow" startarrowlength="short" endarrowwidth="narrow" endarrowlength="short"/>
          <w10:wrap anchorx="page" anchory="page"/>
          <w10:anchorlock/>
        </v:line>
      </w:pict>
    </w:r>
    <w:r>
      <w:rPr>
        <w:noProof/>
        <w:sz w:val="20"/>
      </w:rPr>
      <w:pict>
        <v:line id="_x0000_s2050" style="position:absolute;z-index:2;mso-position-horizontal:absolute;mso-position-horizontal-relative:page;mso-position-vertical:absolute;mso-position-vertical-relative:page" from="21.25pt,419.6pt" to="35.45pt,419.65pt" o:allowincell="f" strokeweight=".5pt">
          <v:stroke startarrowwidth="narrow" startarrowlength="short" endarrowwidth="narrow" endarrowlength="short"/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3EE3C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A4D7F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4B92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E8F7A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A4FDA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CE30B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CE290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80201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A4017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CA5A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54404"/>
    <w:multiLevelType w:val="singleLevel"/>
    <w:tmpl w:val="C690182A"/>
    <w:lvl w:ilvl="0">
      <w:start w:val="1"/>
      <w:numFmt w:val="bullet"/>
      <w:pStyle w:val="Spiegelstrich1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 w15:restartNumberingAfterBreak="0">
    <w:nsid w:val="0ACA08C7"/>
    <w:multiLevelType w:val="singleLevel"/>
    <w:tmpl w:val="8206B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B224E9D"/>
    <w:multiLevelType w:val="multilevel"/>
    <w:tmpl w:val="5190605C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18454F17"/>
    <w:multiLevelType w:val="singleLevel"/>
    <w:tmpl w:val="B498CFE6"/>
    <w:lvl w:ilvl="0">
      <w:start w:val="1"/>
      <w:numFmt w:val="bullet"/>
      <w:pStyle w:val="Spiegelstrich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BA53E14"/>
    <w:multiLevelType w:val="multilevel"/>
    <w:tmpl w:val="62CA57EE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1325CB"/>
    <w:multiLevelType w:val="singleLevel"/>
    <w:tmpl w:val="685AD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253640B6"/>
    <w:multiLevelType w:val="singleLevel"/>
    <w:tmpl w:val="0C3EE492"/>
    <w:lvl w:ilvl="0">
      <w:start w:val="1"/>
      <w:numFmt w:val="bullet"/>
      <w:lvlText w:val="a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254453A8"/>
    <w:multiLevelType w:val="multilevel"/>
    <w:tmpl w:val="810E60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6C75941"/>
    <w:multiLevelType w:val="singleLevel"/>
    <w:tmpl w:val="94A4CBC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 w15:restartNumberingAfterBreak="0">
    <w:nsid w:val="2DB36197"/>
    <w:multiLevelType w:val="multilevel"/>
    <w:tmpl w:val="EB6A05E8"/>
    <w:lvl w:ilvl="0">
      <w:start w:val="1"/>
      <w:numFmt w:val="decimal"/>
      <w:pStyle w:val="berschrift1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1690AF8"/>
    <w:multiLevelType w:val="singleLevel"/>
    <w:tmpl w:val="3C40C5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1" w15:restartNumberingAfterBreak="0">
    <w:nsid w:val="44152F19"/>
    <w:multiLevelType w:val="singleLevel"/>
    <w:tmpl w:val="69FA27BA"/>
    <w:lvl w:ilvl="0">
      <w:start w:val="1"/>
      <w:numFmt w:val="bullet"/>
      <w:lvlText w:val="a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2" w15:restartNumberingAfterBreak="0">
    <w:nsid w:val="49614E1F"/>
    <w:multiLevelType w:val="singleLevel"/>
    <w:tmpl w:val="A0E6082A"/>
    <w:lvl w:ilvl="0">
      <w:start w:val="1"/>
      <w:numFmt w:val="bullet"/>
      <w:pStyle w:val="Spiegelstrich1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5C9764B9"/>
    <w:multiLevelType w:val="singleLevel"/>
    <w:tmpl w:val="94A4CBC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62701FCA"/>
    <w:multiLevelType w:val="singleLevel"/>
    <w:tmpl w:val="8BA2440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6A6F73A1"/>
    <w:multiLevelType w:val="singleLevel"/>
    <w:tmpl w:val="9F0072E2"/>
    <w:lvl w:ilvl="0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D080FD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7" w15:restartNumberingAfterBreak="0">
    <w:nsid w:val="6D411AFF"/>
    <w:multiLevelType w:val="singleLevel"/>
    <w:tmpl w:val="D3DC52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2"/>
  </w:num>
  <w:num w:numId="2">
    <w:abstractNumId w:val="14"/>
  </w:num>
  <w:num w:numId="3">
    <w:abstractNumId w:val="23"/>
  </w:num>
  <w:num w:numId="4">
    <w:abstractNumId w:val="18"/>
  </w:num>
  <w:num w:numId="5">
    <w:abstractNumId w:val="26"/>
  </w:num>
  <w:num w:numId="6">
    <w:abstractNumId w:val="21"/>
  </w:num>
  <w:num w:numId="7">
    <w:abstractNumId w:val="16"/>
  </w:num>
  <w:num w:numId="8">
    <w:abstractNumId w:val="17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25"/>
  </w:num>
  <w:num w:numId="22">
    <w:abstractNumId w:val="20"/>
  </w:num>
  <w:num w:numId="23">
    <w:abstractNumId w:val="10"/>
  </w:num>
  <w:num w:numId="24">
    <w:abstractNumId w:val="13"/>
  </w:num>
  <w:num w:numId="25">
    <w:abstractNumId w:val="22"/>
  </w:num>
  <w:num w:numId="26">
    <w:abstractNumId w:val="27"/>
  </w:num>
  <w:num w:numId="27">
    <w:abstractNumId w:val="24"/>
  </w:num>
  <w:num w:numId="28">
    <w:abstractNumId w:val="2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mirrorMargins/>
  <w:proofState w:spelling="clean"/>
  <w:attachedTemplate r:id="rId1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kVarVorlage" w:val="PRESSE"/>
    <w:docVar w:name="sDokVerantwortlicher1" w:val="Frau Weis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867ECA3-5023-498A-90C8-A92D8000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80" w:after="80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9"/>
      </w:numPr>
      <w:spacing w:before="280" w:after="60"/>
      <w:outlineLvl w:val="0"/>
    </w:pPr>
    <w:rPr>
      <w:kern w:val="28"/>
      <w:sz w:val="3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9"/>
      </w:numPr>
      <w:spacing w:before="200" w:after="100"/>
      <w:outlineLvl w:val="1"/>
    </w:pPr>
    <w:rPr>
      <w:sz w:val="26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2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709"/>
        <w:tab w:val="right" w:pos="9356"/>
      </w:tabs>
      <w:spacing w:before="120" w:after="60"/>
      <w:ind w:left="709" w:hanging="709"/>
    </w:pPr>
    <w:rPr>
      <w:noProof/>
    </w:rPr>
  </w:style>
  <w:style w:type="paragraph" w:styleId="Verzeichnis2">
    <w:name w:val="toc 2"/>
    <w:basedOn w:val="Standard"/>
    <w:next w:val="Standard"/>
    <w:semiHidden/>
    <w:pPr>
      <w:tabs>
        <w:tab w:val="left" w:pos="709"/>
        <w:tab w:val="right" w:pos="9356"/>
      </w:tabs>
      <w:spacing w:before="0" w:after="60"/>
    </w:pPr>
    <w:rPr>
      <w:noProof/>
    </w:rPr>
  </w:style>
  <w:style w:type="character" w:styleId="Seitenzahl">
    <w:name w:val="page number"/>
    <w:basedOn w:val="Absatz-Standardschriftart"/>
    <w:semiHidden/>
  </w:style>
  <w:style w:type="paragraph" w:styleId="Verzeichnis3">
    <w:name w:val="toc 3"/>
    <w:basedOn w:val="Standard"/>
    <w:next w:val="Standard"/>
    <w:autoRedefine/>
    <w:semiHidden/>
    <w:pPr>
      <w:tabs>
        <w:tab w:val="left" w:pos="709"/>
        <w:tab w:val="left" w:pos="1200"/>
        <w:tab w:val="right" w:pos="9356"/>
      </w:tabs>
      <w:spacing w:before="0" w:after="60"/>
    </w:pPr>
    <w:rPr>
      <w:noProof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customStyle="1" w:styleId="Titelzeile">
    <w:name w:val="Titelzeile"/>
    <w:basedOn w:val="Standard"/>
    <w:pPr>
      <w:spacing w:before="400" w:after="240"/>
    </w:pPr>
    <w:rPr>
      <w:sz w:val="32"/>
    </w:rPr>
  </w:style>
  <w:style w:type="paragraph" w:styleId="Umschlagabsenderadresse">
    <w:name w:val="envelope return"/>
    <w:basedOn w:val="Standard"/>
    <w:semiHidden/>
    <w:rPr>
      <w:rFonts w:ascii="Arial" w:hAnsi="Arial"/>
      <w:sz w:val="20"/>
    </w:r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0"/>
      </w:numPr>
    </w:pPr>
  </w:style>
  <w:style w:type="paragraph" w:styleId="Aufzhlungszeichen2">
    <w:name w:val="List Bullet 2"/>
    <w:basedOn w:val="Standard"/>
    <w:autoRedefine/>
    <w:semiHidden/>
    <w:pPr>
      <w:numPr>
        <w:numId w:val="11"/>
      </w:numPr>
    </w:pPr>
  </w:style>
  <w:style w:type="paragraph" w:styleId="Aufzhlungszeichen3">
    <w:name w:val="List Bullet 3"/>
    <w:basedOn w:val="Standard"/>
    <w:autoRedefine/>
    <w:semiHidden/>
    <w:pPr>
      <w:numPr>
        <w:numId w:val="12"/>
      </w:numPr>
    </w:pPr>
  </w:style>
  <w:style w:type="paragraph" w:styleId="Aufzhlungszeichen4">
    <w:name w:val="List Bullet 4"/>
    <w:basedOn w:val="Standard"/>
    <w:autoRedefine/>
    <w:semiHidden/>
    <w:pPr>
      <w:numPr>
        <w:numId w:val="13"/>
      </w:numPr>
    </w:pPr>
  </w:style>
  <w:style w:type="paragraph" w:styleId="Aufzhlungszeichen5">
    <w:name w:val="List Bullet 5"/>
    <w:basedOn w:val="Standard"/>
    <w:autoRedefine/>
    <w:semiHidden/>
    <w:pPr>
      <w:numPr>
        <w:numId w:val="14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15"/>
      </w:numPr>
    </w:pPr>
  </w:style>
  <w:style w:type="paragraph" w:styleId="Listennummer2">
    <w:name w:val="List Number 2"/>
    <w:basedOn w:val="Standard"/>
    <w:semiHidden/>
    <w:pPr>
      <w:numPr>
        <w:numId w:val="16"/>
      </w:numPr>
    </w:pPr>
  </w:style>
  <w:style w:type="paragraph" w:styleId="Listennummer3">
    <w:name w:val="List Number 3"/>
    <w:basedOn w:val="Standard"/>
    <w:semiHidden/>
    <w:pPr>
      <w:numPr>
        <w:numId w:val="17"/>
      </w:numPr>
    </w:pPr>
  </w:style>
  <w:style w:type="paragraph" w:styleId="Listennummer4">
    <w:name w:val="List Number 4"/>
    <w:basedOn w:val="Standard"/>
    <w:semiHidden/>
    <w:pPr>
      <w:numPr>
        <w:numId w:val="18"/>
      </w:numPr>
    </w:pPr>
  </w:style>
  <w:style w:type="paragraph" w:styleId="Listennummer5">
    <w:name w:val="List Number 5"/>
    <w:basedOn w:val="Standard"/>
    <w:semiHidden/>
    <w:pPr>
      <w:numPr>
        <w:numId w:val="19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0" w:after="30"/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semiHidden/>
    <w:rPr>
      <w:rFonts w:ascii="Courier New" w:hAnsi="Courier New"/>
      <w:sz w:val="20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customStyle="1" w:styleId="Aufzhlung">
    <w:name w:val="Aufzählung"/>
    <w:basedOn w:val="Standard"/>
    <w:pPr>
      <w:numPr>
        <w:numId w:val="21"/>
      </w:numPr>
    </w:pPr>
  </w:style>
  <w:style w:type="paragraph" w:customStyle="1" w:styleId="Spiegelstrich1">
    <w:name w:val="Spiegelstrich 1"/>
    <w:basedOn w:val="Standard"/>
    <w:pPr>
      <w:numPr>
        <w:numId w:val="25"/>
      </w:numPr>
    </w:pPr>
  </w:style>
  <w:style w:type="paragraph" w:customStyle="1" w:styleId="Spiegelstrich2">
    <w:name w:val="Spiegelstrich 2"/>
    <w:basedOn w:val="Standard"/>
    <w:pPr>
      <w:numPr>
        <w:numId w:val="24"/>
      </w:numPr>
      <w:tabs>
        <w:tab w:val="clear" w:pos="360"/>
        <w:tab w:val="num" w:pos="720"/>
      </w:tabs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1470a01\LFW\Abteilung7\Referat74\Vorlage_fuer_Anlage_fuer_Merkbla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Vorlage_fuer_Anlage_fuer_Merkblaetter.dot</Template>
  <TotalTime>0</TotalTime>
  <Pages>1</Pages>
  <Words>700</Words>
  <Characters>4412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zu Schr. Nr. 2.1/5</vt:lpstr>
    </vt:vector>
  </TitlesOfParts>
  <Company/>
  <LinksUpToDate>false</LinksUpToDate>
  <CharactersWithSpaces>5102</CharactersWithSpaces>
  <SharedDoc>false</SharedDoc>
  <HLinks>
    <vt:vector size="6" baseType="variant">
      <vt:variant>
        <vt:i4>2818109</vt:i4>
      </vt:variant>
      <vt:variant>
        <vt:i4>6414</vt:i4>
      </vt:variant>
      <vt:variant>
        <vt:i4>1025</vt:i4>
      </vt:variant>
      <vt:variant>
        <vt:i4>1</vt:i4>
      </vt:variant>
      <vt:variant>
        <vt:lpwstr>\\BUPOSDEV\Projekt\WASSERW\PJ10421\VORNEU\GLOBAL\W_20_SW.WMF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zu Schr. Nr. 2.1/5</dc:title>
  <dc:subject/>
  <dc:creator>puhl</dc:creator>
  <cp:keywords/>
  <cp:lastModifiedBy>moritz</cp:lastModifiedBy>
  <cp:revision>3</cp:revision>
  <cp:lastPrinted>2000-09-28T06:40:00Z</cp:lastPrinted>
  <dcterms:created xsi:type="dcterms:W3CDTF">2003-02-06T15:28:00Z</dcterms:created>
  <dcterms:modified xsi:type="dcterms:W3CDTF">2003-02-06T15:30:00Z</dcterms:modified>
</cp:coreProperties>
</file>